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93483" w:rsidRPr="00417697" w14:paraId="44AF9341" w14:textId="77777777" w:rsidTr="00D93483">
        <w:tc>
          <w:tcPr>
            <w:tcW w:w="9016" w:type="dxa"/>
            <w:gridSpan w:val="2"/>
          </w:tcPr>
          <w:p w14:paraId="15C6CEE8" w14:textId="77777777" w:rsidR="00D93483" w:rsidRPr="00A069AF" w:rsidRDefault="00D93483" w:rsidP="005C3A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069AF">
              <w:rPr>
                <w:rFonts w:ascii="Arial" w:hAnsi="Arial" w:cs="Arial"/>
                <w:b/>
                <w:bCs/>
              </w:rPr>
              <w:t>Shapoorji Pallonji and Company Private Limited, India and SP-EPC Shapoorji Pallonji and Company</w:t>
            </w:r>
          </w:p>
          <w:p w14:paraId="06FC5E65" w14:textId="77777777" w:rsidR="00D93483" w:rsidRPr="00A069AF" w:rsidRDefault="00D93483" w:rsidP="005C3A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6520FE" w14:textId="6BEA70B7" w:rsidR="00417697" w:rsidRPr="005C3AAB" w:rsidRDefault="00D93483" w:rsidP="005C3A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069AF">
              <w:rPr>
                <w:rFonts w:ascii="Arial" w:hAnsi="Arial" w:cs="Arial"/>
                <w:b/>
                <w:bCs/>
              </w:rPr>
              <w:t>Pre-Qualification Requirement</w:t>
            </w:r>
          </w:p>
        </w:tc>
      </w:tr>
      <w:tr w:rsidR="00354DE8" w:rsidRPr="00417697" w14:paraId="58D9F561" w14:textId="460ECE56" w:rsidTr="00360F93">
        <w:tc>
          <w:tcPr>
            <w:tcW w:w="3397" w:type="dxa"/>
          </w:tcPr>
          <w:p w14:paraId="5390109B" w14:textId="5D113C1F" w:rsidR="00354DE8" w:rsidRPr="00144C65" w:rsidRDefault="00354DE8" w:rsidP="00FA7B3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15428">
              <w:rPr>
                <w:rFonts w:ascii="Arial" w:hAnsi="Arial" w:cs="Arial"/>
                <w:b/>
                <w:bCs/>
              </w:rPr>
              <w:t>Bid submission date</w:t>
            </w:r>
            <w:r w:rsidR="002246A5" w:rsidRPr="0021542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19" w:type="dxa"/>
          </w:tcPr>
          <w:p w14:paraId="30BD4FFE" w14:textId="2C75BDCE" w:rsidR="00354DE8" w:rsidRDefault="00A21E7A" w:rsidP="00354D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  <w:r w:rsidR="00547C33">
              <w:rPr>
                <w:rFonts w:ascii="Arial" w:hAnsi="Arial" w:cs="Arial"/>
                <w:b/>
                <w:bCs/>
              </w:rPr>
              <w:t>5</w:t>
            </w:r>
            <w:r w:rsidRPr="00A21E7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March 2025 </w:t>
            </w:r>
          </w:p>
          <w:p w14:paraId="410EA092" w14:textId="202DF96F" w:rsidR="00360F93" w:rsidRPr="00A069AF" w:rsidRDefault="00360F93" w:rsidP="00354DE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Window for Technical and Commercial queries: </w:t>
            </w:r>
            <w:r w:rsidR="00547C33">
              <w:rPr>
                <w:rFonts w:ascii="Arial" w:hAnsi="Arial" w:cs="Arial"/>
                <w:b/>
                <w:bCs/>
              </w:rPr>
              <w:t>09</w:t>
            </w:r>
            <w:r w:rsidR="00547C33" w:rsidRPr="00547C3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547C3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March to </w:t>
            </w:r>
            <w:r w:rsidR="00547C33">
              <w:rPr>
                <w:rFonts w:ascii="Arial" w:hAnsi="Arial" w:cs="Arial"/>
                <w:b/>
                <w:bCs/>
              </w:rPr>
              <w:t>12</w:t>
            </w:r>
            <w:r w:rsidRPr="00360F9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March 2025 </w:t>
            </w:r>
          </w:p>
        </w:tc>
      </w:tr>
    </w:tbl>
    <w:p w14:paraId="104A9D29" w14:textId="77777777" w:rsidR="00D93483" w:rsidRPr="00417697" w:rsidRDefault="00D93483" w:rsidP="005C3AAB">
      <w:pPr>
        <w:spacing w:line="276" w:lineRule="auto"/>
        <w:jc w:val="both"/>
        <w:rPr>
          <w:rFonts w:ascii="Arial" w:hAnsi="Arial" w:cs="Arial"/>
        </w:rPr>
      </w:pPr>
    </w:p>
    <w:p w14:paraId="25681948" w14:textId="197BF381" w:rsidR="00356913" w:rsidRPr="00417697" w:rsidRDefault="00D93483" w:rsidP="005C3AA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Instruction to Bidders</w:t>
      </w:r>
    </w:p>
    <w:p w14:paraId="53396140" w14:textId="40B51EB9" w:rsidR="00D93483" w:rsidRPr="00417697" w:rsidRDefault="00D93483" w:rsidP="005C3AA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Introduction:</w:t>
      </w:r>
    </w:p>
    <w:p w14:paraId="4F6B5B2D" w14:textId="2479122C" w:rsidR="00C9271D" w:rsidRPr="00417697" w:rsidRDefault="00417697" w:rsidP="005C3AAB">
      <w:p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  <w:b/>
          <w:bCs/>
          <w:u w:val="single"/>
        </w:rPr>
        <w:t>Project:</w:t>
      </w:r>
      <w:r>
        <w:rPr>
          <w:rFonts w:ascii="Arial" w:hAnsi="Arial" w:cs="Arial"/>
        </w:rPr>
        <w:t xml:space="preserve"> </w:t>
      </w:r>
      <w:r w:rsidR="00D93483" w:rsidRPr="00417697">
        <w:rPr>
          <w:rFonts w:ascii="Arial" w:hAnsi="Arial" w:cs="Arial"/>
        </w:rPr>
        <w:t>Design, Engineering, Procurement and Construction of a 10</w:t>
      </w:r>
      <w:r w:rsidR="009021D1">
        <w:rPr>
          <w:rFonts w:ascii="Arial" w:hAnsi="Arial" w:cs="Arial"/>
        </w:rPr>
        <w:t>8</w:t>
      </w:r>
      <w:r w:rsidR="00D93483" w:rsidRPr="00417697">
        <w:rPr>
          <w:rFonts w:ascii="Arial" w:hAnsi="Arial" w:cs="Arial"/>
        </w:rPr>
        <w:t>.4MW</w:t>
      </w:r>
      <w:r w:rsidR="009021D1">
        <w:rPr>
          <w:rFonts w:ascii="Arial" w:hAnsi="Arial" w:cs="Arial"/>
        </w:rPr>
        <w:t xml:space="preserve"> </w:t>
      </w:r>
      <w:r w:rsidR="00360F93">
        <w:rPr>
          <w:rFonts w:ascii="Arial" w:hAnsi="Arial" w:cs="Arial"/>
        </w:rPr>
        <w:t>(Gross</w:t>
      </w:r>
      <w:r w:rsidR="009021D1">
        <w:rPr>
          <w:rFonts w:ascii="Arial" w:hAnsi="Arial" w:cs="Arial"/>
        </w:rPr>
        <w:t xml:space="preserve"> ) </w:t>
      </w:r>
      <w:r w:rsidR="00D93483" w:rsidRPr="00417697">
        <w:rPr>
          <w:rFonts w:ascii="Arial" w:hAnsi="Arial" w:cs="Arial"/>
        </w:rPr>
        <w:t xml:space="preserve"> Combined Cycle Power Plant and Upgrade Works to the 33 KV network in the Republic of Sierra Leone</w:t>
      </w:r>
      <w:r>
        <w:rPr>
          <w:rFonts w:ascii="Arial" w:hAnsi="Arial" w:cs="Arial"/>
        </w:rPr>
        <w:t>.</w:t>
      </w:r>
    </w:p>
    <w:p w14:paraId="74A57753" w14:textId="6495B319" w:rsidR="00D93483" w:rsidRPr="00417697" w:rsidRDefault="00C9271D" w:rsidP="005C3AAB">
      <w:p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>Bidder is required to meet qualification requirement for the Package, as per the stipulated criteria indicated below for the purpose of qualification of bidder’s techno-commercial bid.</w:t>
      </w:r>
    </w:p>
    <w:p w14:paraId="79385F32" w14:textId="77777777" w:rsidR="005C3AAB" w:rsidRDefault="005C3AAB" w:rsidP="005C3AAB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bCs/>
          <w:u w:val="single"/>
        </w:rPr>
      </w:pPr>
    </w:p>
    <w:p w14:paraId="41DA5283" w14:textId="6467B284" w:rsidR="00D93483" w:rsidRPr="00417697" w:rsidRDefault="00D93483" w:rsidP="005C3A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Technical PQ criteria:</w:t>
      </w:r>
    </w:p>
    <w:p w14:paraId="16CA8236" w14:textId="30590D14" w:rsidR="00C9271D" w:rsidRDefault="00C9271D" w:rsidP="000409F5">
      <w:pPr>
        <w:spacing w:line="276" w:lineRule="auto"/>
        <w:ind w:left="709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Technical pre-qualification requirement for </w:t>
      </w:r>
      <w:r w:rsidR="000B3E96" w:rsidRPr="003C37C5">
        <w:rPr>
          <w:rFonts w:ascii="Arial" w:hAnsi="Arial" w:cs="Arial"/>
        </w:rPr>
        <w:t>(</w:t>
      </w:r>
      <w:r w:rsidR="00BD001F">
        <w:rPr>
          <w:rFonts w:ascii="Arial" w:hAnsi="Arial" w:cs="Arial"/>
        </w:rPr>
        <w:t>Transmission line</w:t>
      </w:r>
      <w:r w:rsidR="003C37C5" w:rsidRPr="003C37C5">
        <w:rPr>
          <w:rFonts w:ascii="Arial" w:hAnsi="Arial" w:cs="Arial"/>
        </w:rPr>
        <w:t xml:space="preserve"> Works</w:t>
      </w:r>
      <w:r w:rsidRPr="003C37C5">
        <w:rPr>
          <w:rFonts w:ascii="Arial" w:hAnsi="Arial" w:cs="Arial"/>
        </w:rPr>
        <w:t>):</w:t>
      </w:r>
    </w:p>
    <w:p w14:paraId="5B971D3A" w14:textId="55774812" w:rsidR="005A671F" w:rsidRPr="00417697" w:rsidRDefault="005A671F" w:rsidP="000409F5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Preferred-</w:t>
      </w:r>
    </w:p>
    <w:p w14:paraId="6E1786C6" w14:textId="4E322753" w:rsidR="00C9271D" w:rsidRDefault="00C9271D" w:rsidP="005C3AA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The bidder should have </w:t>
      </w:r>
      <w:r w:rsidR="005C3AAB">
        <w:rPr>
          <w:rFonts w:ascii="Arial" w:hAnsi="Arial" w:cs="Arial"/>
        </w:rPr>
        <w:t>worked for</w:t>
      </w:r>
      <w:r w:rsidRPr="00417697">
        <w:rPr>
          <w:rFonts w:ascii="Arial" w:hAnsi="Arial" w:cs="Arial"/>
        </w:rPr>
        <w:t xml:space="preserve"> Power Plant in the last seven (7) years, which is operational for last one (1) year.</w:t>
      </w:r>
    </w:p>
    <w:p w14:paraId="23E8216D" w14:textId="77777777" w:rsidR="005A671F" w:rsidRDefault="005A671F" w:rsidP="005A671F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76AF7B9" w14:textId="06FFC58D" w:rsidR="005A671F" w:rsidRPr="00417697" w:rsidRDefault="005A671F" w:rsidP="005A671F">
      <w:pPr>
        <w:pStyle w:val="ListParagraph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9A43BA1" w14:textId="77777777" w:rsidR="00AD445F" w:rsidRDefault="00AD445F" w:rsidP="005C3AA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7DB1698" w14:textId="4F981939" w:rsidR="00215428" w:rsidRDefault="005A671F" w:rsidP="005A671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bidder should have execution experience of </w:t>
      </w:r>
      <w:r w:rsidR="00C607C9">
        <w:rPr>
          <w:rFonts w:ascii="Arial" w:hAnsi="Arial" w:cs="Arial"/>
        </w:rPr>
        <w:t>minimum 5 transmission line</w:t>
      </w:r>
      <w:r>
        <w:rPr>
          <w:rFonts w:ascii="Arial" w:hAnsi="Arial" w:cs="Arial"/>
        </w:rPr>
        <w:t xml:space="preserve"> project</w:t>
      </w:r>
      <w:r w:rsidR="006F1CA7">
        <w:rPr>
          <w:rFonts w:ascii="Arial" w:hAnsi="Arial" w:cs="Arial"/>
        </w:rPr>
        <w:t xml:space="preserve">s </w:t>
      </w:r>
      <w:r w:rsidR="00E250FB">
        <w:rPr>
          <w:rFonts w:ascii="Arial" w:hAnsi="Arial" w:cs="Arial"/>
        </w:rPr>
        <w:t xml:space="preserve">with voltage levels of 11 kV and more </w:t>
      </w:r>
      <w:r w:rsidR="00C607C9">
        <w:rPr>
          <w:rFonts w:ascii="Arial" w:hAnsi="Arial" w:cs="Arial"/>
        </w:rPr>
        <w:t>with execution experience of at least 2 projects in Sierre Leone country</w:t>
      </w:r>
    </w:p>
    <w:p w14:paraId="0D08C5B1" w14:textId="77777777" w:rsidR="00215428" w:rsidRDefault="00215428" w:rsidP="00215428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D0954B8" w14:textId="5886207A" w:rsidR="005A671F" w:rsidRPr="00215428" w:rsidRDefault="00215428" w:rsidP="00C607C9">
      <w:pPr>
        <w:pStyle w:val="ListParagraph"/>
        <w:spacing w:line="276" w:lineRule="auto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B8EC826" w14:textId="77777777" w:rsidR="005A671F" w:rsidRPr="00417697" w:rsidRDefault="005A671F" w:rsidP="005A671F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6E06149" w14:textId="3B55070B" w:rsidR="00C9271D" w:rsidRPr="00417697" w:rsidRDefault="00C9271D" w:rsidP="005C3A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417697">
        <w:rPr>
          <w:rFonts w:ascii="Arial" w:hAnsi="Arial" w:cs="Arial"/>
          <w:b/>
          <w:bCs/>
          <w:u w:val="single"/>
        </w:rPr>
        <w:t>Financial Criteria:</w:t>
      </w:r>
    </w:p>
    <w:p w14:paraId="6FF86878" w14:textId="77777777" w:rsidR="00AD445F" w:rsidRPr="00417697" w:rsidRDefault="00AD445F" w:rsidP="005C3AA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8FA4C32" w14:textId="4634CA97" w:rsidR="00C9271D" w:rsidRPr="00417697" w:rsidRDefault="00C9271D" w:rsidP="005C3A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Bidder should have an average annual turnover of minimum </w:t>
      </w:r>
      <w:r w:rsidR="00F419BC">
        <w:rPr>
          <w:rFonts w:ascii="Arial" w:hAnsi="Arial" w:cs="Arial"/>
        </w:rPr>
        <w:t>6</w:t>
      </w:r>
      <w:r w:rsidRPr="00417697">
        <w:rPr>
          <w:rFonts w:ascii="Arial" w:hAnsi="Arial" w:cs="Arial"/>
        </w:rPr>
        <w:t xml:space="preserve"> million USD during last </w:t>
      </w:r>
      <w:r w:rsidR="00417697">
        <w:rPr>
          <w:rFonts w:ascii="Arial" w:hAnsi="Arial" w:cs="Arial"/>
        </w:rPr>
        <w:t>three (3)</w:t>
      </w:r>
      <w:r w:rsidRPr="00417697">
        <w:rPr>
          <w:rFonts w:ascii="Arial" w:hAnsi="Arial" w:cs="Arial"/>
        </w:rPr>
        <w:t xml:space="preserve"> </w:t>
      </w:r>
      <w:r w:rsidR="00AD445F" w:rsidRPr="00417697">
        <w:rPr>
          <w:rFonts w:ascii="Arial" w:hAnsi="Arial" w:cs="Arial"/>
        </w:rPr>
        <w:t>consecutive financial years</w:t>
      </w:r>
      <w:r w:rsidR="00054BE9">
        <w:rPr>
          <w:rFonts w:ascii="Arial" w:hAnsi="Arial" w:cs="Arial"/>
        </w:rPr>
        <w:t>.</w:t>
      </w:r>
    </w:p>
    <w:p w14:paraId="7615B421" w14:textId="2142CB2C" w:rsidR="00AD445F" w:rsidRDefault="00AD445F" w:rsidP="005C3AA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>The company shall be profitable for last three</w:t>
      </w:r>
      <w:r w:rsidR="00417697">
        <w:rPr>
          <w:rFonts w:ascii="Arial" w:hAnsi="Arial" w:cs="Arial"/>
        </w:rPr>
        <w:t xml:space="preserve"> (3)</w:t>
      </w:r>
      <w:r w:rsidRPr="00417697">
        <w:rPr>
          <w:rFonts w:ascii="Arial" w:hAnsi="Arial" w:cs="Arial"/>
        </w:rPr>
        <w:t xml:space="preserve"> years.</w:t>
      </w:r>
    </w:p>
    <w:p w14:paraId="37362EB4" w14:textId="77777777" w:rsidR="003C37C5" w:rsidRPr="003C37C5" w:rsidRDefault="003C37C5" w:rsidP="003C37C5">
      <w:pPr>
        <w:spacing w:line="276" w:lineRule="auto"/>
        <w:jc w:val="both"/>
        <w:rPr>
          <w:rFonts w:ascii="Arial" w:hAnsi="Arial" w:cs="Arial"/>
        </w:rPr>
      </w:pPr>
    </w:p>
    <w:p w14:paraId="52E80AE5" w14:textId="77777777" w:rsidR="00417697" w:rsidRPr="00417697" w:rsidRDefault="00417697" w:rsidP="005C3AAB">
      <w:pPr>
        <w:spacing w:line="276" w:lineRule="auto"/>
        <w:jc w:val="both"/>
        <w:rPr>
          <w:rFonts w:ascii="Arial" w:hAnsi="Arial" w:cs="Arial"/>
        </w:rPr>
      </w:pPr>
    </w:p>
    <w:p w14:paraId="632A761A" w14:textId="28349EFD" w:rsidR="00AD445F" w:rsidRPr="007042CD" w:rsidRDefault="00AD445F" w:rsidP="005C3AA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7042CD">
        <w:rPr>
          <w:rFonts w:ascii="Arial" w:hAnsi="Arial" w:cs="Arial"/>
          <w:b/>
          <w:bCs/>
          <w:u w:val="single"/>
        </w:rPr>
        <w:lastRenderedPageBreak/>
        <w:t>Subcontractor shall submit details of experience, i.e. jobs executed, jobs in progress in the format indicated below:</w:t>
      </w:r>
    </w:p>
    <w:p w14:paraId="6753916F" w14:textId="77777777" w:rsidR="00751A52" w:rsidRPr="00751A52" w:rsidRDefault="00751A52" w:rsidP="00751A52">
      <w:pPr>
        <w:pStyle w:val="ListParagraph"/>
        <w:spacing w:line="276" w:lineRule="auto"/>
        <w:ind w:left="108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118" w:type="dxa"/>
        <w:tblLook w:val="04A0" w:firstRow="1" w:lastRow="0" w:firstColumn="1" w:lastColumn="0" w:noHBand="0" w:noVBand="1"/>
      </w:tblPr>
      <w:tblGrid>
        <w:gridCol w:w="733"/>
        <w:gridCol w:w="1977"/>
        <w:gridCol w:w="1391"/>
        <w:gridCol w:w="1371"/>
        <w:gridCol w:w="1610"/>
        <w:gridCol w:w="1563"/>
        <w:gridCol w:w="1473"/>
      </w:tblGrid>
      <w:tr w:rsidR="00AD445F" w:rsidRPr="00417697" w14:paraId="05F2A8F3" w14:textId="77777777" w:rsidTr="00180E25">
        <w:trPr>
          <w:trHeight w:val="800"/>
        </w:trPr>
        <w:tc>
          <w:tcPr>
            <w:tcW w:w="733" w:type="dxa"/>
          </w:tcPr>
          <w:p w14:paraId="6F01BCE7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Sl. No.</w:t>
            </w:r>
          </w:p>
        </w:tc>
        <w:tc>
          <w:tcPr>
            <w:tcW w:w="1977" w:type="dxa"/>
          </w:tcPr>
          <w:p w14:paraId="30B8D49E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Name of the Project</w:t>
            </w:r>
          </w:p>
        </w:tc>
        <w:tc>
          <w:tcPr>
            <w:tcW w:w="1391" w:type="dxa"/>
          </w:tcPr>
          <w:p w14:paraId="3DC17E0D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Brief Scope of Work</w:t>
            </w:r>
          </w:p>
        </w:tc>
        <w:tc>
          <w:tcPr>
            <w:tcW w:w="1371" w:type="dxa"/>
          </w:tcPr>
          <w:p w14:paraId="430D8B98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Order ref. and date</w:t>
            </w:r>
          </w:p>
        </w:tc>
        <w:tc>
          <w:tcPr>
            <w:tcW w:w="1610" w:type="dxa"/>
          </w:tcPr>
          <w:p w14:paraId="79B11C02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Date of completion</w:t>
            </w:r>
          </w:p>
        </w:tc>
        <w:tc>
          <w:tcPr>
            <w:tcW w:w="1563" w:type="dxa"/>
          </w:tcPr>
          <w:p w14:paraId="1A8C781B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No. of years in successful operation</w:t>
            </w:r>
          </w:p>
        </w:tc>
        <w:tc>
          <w:tcPr>
            <w:tcW w:w="1473" w:type="dxa"/>
          </w:tcPr>
          <w:p w14:paraId="19E8758F" w14:textId="77777777" w:rsidR="00AD445F" w:rsidRPr="00417697" w:rsidRDefault="00AD445F" w:rsidP="00180E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17697">
              <w:rPr>
                <w:rFonts w:ascii="Arial" w:hAnsi="Arial" w:cs="Arial"/>
              </w:rPr>
              <w:t>Remarks</w:t>
            </w:r>
          </w:p>
        </w:tc>
      </w:tr>
      <w:tr w:rsidR="00AD445F" w:rsidRPr="00417697" w14:paraId="5DC6D2C1" w14:textId="77777777" w:rsidTr="00180E25">
        <w:trPr>
          <w:trHeight w:val="119"/>
        </w:trPr>
        <w:tc>
          <w:tcPr>
            <w:tcW w:w="733" w:type="dxa"/>
          </w:tcPr>
          <w:p w14:paraId="49481605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6D8189F1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1D95D15F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178DF5DE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1DFCA5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65722C37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81737DC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D445F" w:rsidRPr="00417697" w14:paraId="141D1A43" w14:textId="77777777" w:rsidTr="00180E25">
        <w:trPr>
          <w:trHeight w:val="119"/>
        </w:trPr>
        <w:tc>
          <w:tcPr>
            <w:tcW w:w="733" w:type="dxa"/>
          </w:tcPr>
          <w:p w14:paraId="2F901C2B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4695603B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B99A3A1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00273C6C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C45A21E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16696385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41BA886" w14:textId="77777777" w:rsidR="00AD445F" w:rsidRPr="00417697" w:rsidRDefault="00AD445F" w:rsidP="005C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389CAC" w14:textId="794E3602" w:rsidR="00417697" w:rsidRDefault="00417697" w:rsidP="005C3AAB">
      <w:pPr>
        <w:spacing w:line="276" w:lineRule="auto"/>
        <w:jc w:val="both"/>
        <w:rPr>
          <w:rFonts w:ascii="Arial" w:hAnsi="Arial" w:cs="Arial"/>
        </w:rPr>
      </w:pPr>
    </w:p>
    <w:p w14:paraId="032A3E69" w14:textId="77777777" w:rsidR="00417697" w:rsidRPr="00417697" w:rsidRDefault="00417697" w:rsidP="005C3AAB">
      <w:pPr>
        <w:spacing w:line="276" w:lineRule="auto"/>
        <w:jc w:val="both"/>
        <w:rPr>
          <w:rFonts w:ascii="Arial" w:hAnsi="Arial" w:cs="Arial"/>
        </w:rPr>
      </w:pPr>
    </w:p>
    <w:p w14:paraId="2B49442D" w14:textId="5CBD7AC4" w:rsidR="00417697" w:rsidRPr="005C3AAB" w:rsidRDefault="00417697" w:rsidP="005C3AA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3AAB">
        <w:rPr>
          <w:rFonts w:ascii="Arial" w:hAnsi="Arial" w:cs="Arial"/>
          <w:b/>
          <w:bCs/>
          <w:u w:val="single"/>
        </w:rPr>
        <w:t>Notes:</w:t>
      </w:r>
    </w:p>
    <w:p w14:paraId="19E0F214" w14:textId="1D36B9AE" w:rsidR="00417697" w:rsidRPr="00417697" w:rsidRDefault="00417697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>Subcontractor shall submit audited annual/financial reports for the relevant financial years mentioned above.</w:t>
      </w:r>
    </w:p>
    <w:p w14:paraId="7C831F2F" w14:textId="06A8EEE1" w:rsidR="00417697" w:rsidRDefault="00417697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17697">
        <w:rPr>
          <w:rFonts w:ascii="Arial" w:hAnsi="Arial" w:cs="Arial"/>
        </w:rPr>
        <w:t xml:space="preserve">Bidder shall submit requisite documentary evidence of the of works executed with aforesaid techno-commercial criteria. </w:t>
      </w:r>
    </w:p>
    <w:p w14:paraId="77E527FF" w14:textId="5ECEB80C" w:rsidR="00215428" w:rsidRDefault="00215428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Bidder should have management system ISO in place and should have a fully functional experienced planning and monitoring department</w:t>
      </w:r>
    </w:p>
    <w:p w14:paraId="7F67086F" w14:textId="2BD9FF79" w:rsidR="00022C1A" w:rsidRPr="00417697" w:rsidRDefault="00022C1A" w:rsidP="005C3AA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eligible bidders are requested to submit the bid as per the </w:t>
      </w:r>
      <w:r w:rsidR="00143D4F">
        <w:rPr>
          <w:rFonts w:ascii="Arial" w:hAnsi="Arial" w:cs="Arial"/>
        </w:rPr>
        <w:t xml:space="preserve">aforesaid eligibility criteria. The </w:t>
      </w:r>
      <w:r w:rsidR="00FF524B">
        <w:rPr>
          <w:rFonts w:ascii="Arial" w:hAnsi="Arial" w:cs="Arial"/>
        </w:rPr>
        <w:t>bid received from non-eligible bidders will be rejected without any communication.</w:t>
      </w:r>
    </w:p>
    <w:p w14:paraId="46ECF5EE" w14:textId="4E158D62" w:rsidR="005A671F" w:rsidRDefault="005A671F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Even if the above criteria are not met by the bidders, the interested b</w:t>
      </w:r>
      <w:r w:rsidR="003C37C5">
        <w:rPr>
          <w:rFonts w:ascii="Arial" w:hAnsi="Arial" w:cs="Arial"/>
        </w:rPr>
        <w:t>i</w:t>
      </w:r>
      <w:r>
        <w:rPr>
          <w:rFonts w:ascii="Arial" w:hAnsi="Arial" w:cs="Arial"/>
        </w:rPr>
        <w:t>dders can submit their credentials as expression of interest within 7 days from this notice for Contractor</w:t>
      </w:r>
      <w:r w:rsidR="00083331">
        <w:rPr>
          <w:rFonts w:ascii="Arial" w:hAnsi="Arial" w:cs="Arial"/>
        </w:rPr>
        <w:t>.</w:t>
      </w:r>
    </w:p>
    <w:p w14:paraId="1FD13EC9" w14:textId="2A7D9D20" w:rsidR="005A671F" w:rsidRDefault="005A671F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contractor will evaluate the credentials and issue the complete bid documents only to the shortlisted bidders. However, shortlisting of bidders shall in discretion of Contractor.</w:t>
      </w:r>
    </w:p>
    <w:p w14:paraId="105E52F6" w14:textId="3E85CA5E" w:rsidR="00A21E7A" w:rsidRDefault="00A21E7A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607C9">
        <w:rPr>
          <w:rFonts w:ascii="Arial" w:hAnsi="Arial" w:cs="Arial"/>
        </w:rPr>
        <w:t>transmission line package</w:t>
      </w:r>
      <w:r>
        <w:rPr>
          <w:rFonts w:ascii="Arial" w:hAnsi="Arial" w:cs="Arial"/>
        </w:rPr>
        <w:t xml:space="preserve"> is required for a combine cycle power plant work which is highly specialised work with more preciseness and accuracy required in the </w:t>
      </w:r>
      <w:r w:rsidR="00C607C9">
        <w:rPr>
          <w:rFonts w:ascii="Arial" w:hAnsi="Arial" w:cs="Arial"/>
        </w:rPr>
        <w:t>survey</w:t>
      </w:r>
      <w:r>
        <w:rPr>
          <w:rFonts w:ascii="Arial" w:hAnsi="Arial" w:cs="Arial"/>
        </w:rPr>
        <w:t xml:space="preserve"> in addition to stricter quality requirements. </w:t>
      </w:r>
      <w:r w:rsidR="00C607C9">
        <w:rPr>
          <w:rFonts w:ascii="Arial" w:hAnsi="Arial" w:cs="Arial"/>
        </w:rPr>
        <w:t>Technical specifications with sample SLD</w:t>
      </w:r>
      <w:r>
        <w:rPr>
          <w:rFonts w:ascii="Arial" w:hAnsi="Arial" w:cs="Arial"/>
        </w:rPr>
        <w:t xml:space="preserve"> have been included in the given documents</w:t>
      </w:r>
      <w:r w:rsidR="009021D1">
        <w:rPr>
          <w:rFonts w:ascii="Arial" w:hAnsi="Arial" w:cs="Arial"/>
        </w:rPr>
        <w:t xml:space="preserve"> which should be reviewed by the bidders to understand the nature of works. </w:t>
      </w:r>
      <w:r w:rsidR="0051687B">
        <w:rPr>
          <w:rFonts w:ascii="Arial" w:hAnsi="Arial" w:cs="Arial"/>
        </w:rPr>
        <w:t xml:space="preserve">Bidders are encouraged to discuss the technical part to understand the nature and quantum of work in details. </w:t>
      </w:r>
    </w:p>
    <w:p w14:paraId="5B2E576C" w14:textId="4B9D1B4C" w:rsidR="009021D1" w:rsidRDefault="009021D1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broader </w:t>
      </w:r>
      <w:r w:rsidR="00C607C9">
        <w:rPr>
          <w:rFonts w:ascii="Arial" w:hAnsi="Arial" w:cs="Arial"/>
        </w:rPr>
        <w:t>week</w:t>
      </w:r>
      <w:r>
        <w:rPr>
          <w:rFonts w:ascii="Arial" w:hAnsi="Arial" w:cs="Arial"/>
        </w:rPr>
        <w:t xml:space="preserve"> wise schedule</w:t>
      </w:r>
      <w:r w:rsidR="00C607C9">
        <w:rPr>
          <w:rFonts w:ascii="Arial" w:hAnsi="Arial" w:cs="Arial"/>
        </w:rPr>
        <w:t xml:space="preserve"> should be submitted</w:t>
      </w:r>
      <w:r>
        <w:rPr>
          <w:rFonts w:ascii="Arial" w:hAnsi="Arial" w:cs="Arial"/>
        </w:rPr>
        <w:t xml:space="preserve"> given for the review and planning the </w:t>
      </w:r>
      <w:r w:rsidR="00360F93">
        <w:rPr>
          <w:rFonts w:ascii="Arial" w:hAnsi="Arial" w:cs="Arial"/>
        </w:rPr>
        <w:t xml:space="preserve">manpower and other </w:t>
      </w:r>
      <w:r>
        <w:rPr>
          <w:rFonts w:ascii="Arial" w:hAnsi="Arial" w:cs="Arial"/>
        </w:rPr>
        <w:t>resources for the bidder.</w:t>
      </w:r>
      <w:r w:rsidR="00DE0CA4">
        <w:rPr>
          <w:rFonts w:ascii="Arial" w:hAnsi="Arial" w:cs="Arial"/>
        </w:rPr>
        <w:t xml:space="preserve"> The bidder shall use this broader plan to provide the details work schedule (Primavera) in L3 level with all the necessary resource plan. </w:t>
      </w:r>
    </w:p>
    <w:p w14:paraId="2E4139E5" w14:textId="7F797FC1" w:rsidR="009021D1" w:rsidRPr="005A671F" w:rsidRDefault="0051687B" w:rsidP="005A671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the bidders are required to ensure that all the unskilled / semi-skilled workforce should be sourced from the local communities.</w:t>
      </w:r>
    </w:p>
    <w:sectPr w:rsidR="009021D1" w:rsidRPr="005A6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0AB"/>
    <w:multiLevelType w:val="hybridMultilevel"/>
    <w:tmpl w:val="D95E6CC8"/>
    <w:lvl w:ilvl="0" w:tplc="C7942BE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55A4"/>
    <w:multiLevelType w:val="hybridMultilevel"/>
    <w:tmpl w:val="206AD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50639"/>
    <w:multiLevelType w:val="hybridMultilevel"/>
    <w:tmpl w:val="2DF6A3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4AC4"/>
    <w:multiLevelType w:val="hybridMultilevel"/>
    <w:tmpl w:val="3A0EB70A"/>
    <w:lvl w:ilvl="0" w:tplc="30A225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74FF"/>
    <w:multiLevelType w:val="hybridMultilevel"/>
    <w:tmpl w:val="F4DC4D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1874">
    <w:abstractNumId w:val="3"/>
  </w:num>
  <w:num w:numId="2" w16cid:durableId="1875850376">
    <w:abstractNumId w:val="4"/>
  </w:num>
  <w:num w:numId="3" w16cid:durableId="327514236">
    <w:abstractNumId w:val="1"/>
  </w:num>
  <w:num w:numId="4" w16cid:durableId="2085032706">
    <w:abstractNumId w:val="0"/>
  </w:num>
  <w:num w:numId="5" w16cid:durableId="127725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3"/>
    <w:rsid w:val="00022C1A"/>
    <w:rsid w:val="000409F5"/>
    <w:rsid w:val="00054BE9"/>
    <w:rsid w:val="00083331"/>
    <w:rsid w:val="000B3E96"/>
    <w:rsid w:val="00143D4F"/>
    <w:rsid w:val="00144C65"/>
    <w:rsid w:val="00180E25"/>
    <w:rsid w:val="00195E65"/>
    <w:rsid w:val="001B4ED4"/>
    <w:rsid w:val="00215428"/>
    <w:rsid w:val="002246A5"/>
    <w:rsid w:val="00260103"/>
    <w:rsid w:val="00354DE8"/>
    <w:rsid w:val="00356913"/>
    <w:rsid w:val="00360F93"/>
    <w:rsid w:val="003B3C3B"/>
    <w:rsid w:val="003C37C5"/>
    <w:rsid w:val="00417697"/>
    <w:rsid w:val="005112AF"/>
    <w:rsid w:val="0051687B"/>
    <w:rsid w:val="00547C33"/>
    <w:rsid w:val="00584F15"/>
    <w:rsid w:val="005A671F"/>
    <w:rsid w:val="005C3AAB"/>
    <w:rsid w:val="006F1CA7"/>
    <w:rsid w:val="007042CD"/>
    <w:rsid w:val="00751A52"/>
    <w:rsid w:val="009021D1"/>
    <w:rsid w:val="00950763"/>
    <w:rsid w:val="00971187"/>
    <w:rsid w:val="00A05F48"/>
    <w:rsid w:val="00A069AF"/>
    <w:rsid w:val="00A21E7A"/>
    <w:rsid w:val="00A25622"/>
    <w:rsid w:val="00A3643B"/>
    <w:rsid w:val="00A44BB2"/>
    <w:rsid w:val="00AD445F"/>
    <w:rsid w:val="00BD001F"/>
    <w:rsid w:val="00C607C9"/>
    <w:rsid w:val="00C9271D"/>
    <w:rsid w:val="00D93483"/>
    <w:rsid w:val="00DC4AB1"/>
    <w:rsid w:val="00DE0CA4"/>
    <w:rsid w:val="00E250FB"/>
    <w:rsid w:val="00E358EE"/>
    <w:rsid w:val="00E840BB"/>
    <w:rsid w:val="00F13E96"/>
    <w:rsid w:val="00F419BC"/>
    <w:rsid w:val="00FA7B38"/>
    <w:rsid w:val="00FB7E0C"/>
    <w:rsid w:val="00FC382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AF82"/>
  <w15:chartTrackingRefBased/>
  <w15:docId w15:val="{381AC17B-582D-4CBF-AD7C-947F7FB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83"/>
  </w:style>
  <w:style w:type="paragraph" w:styleId="Heading1">
    <w:name w:val="heading 1"/>
    <w:basedOn w:val="Normal"/>
    <w:next w:val="Normal"/>
    <w:link w:val="Heading1Char"/>
    <w:uiPriority w:val="9"/>
    <w:qFormat/>
    <w:rsid w:val="00D93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4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4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0702-DA3A-41F0-A0BF-65B813935E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4bc3d6-4657-4cf6-b6f0-901cdeb373a7}" enabled="0" method="" siteId="{144bc3d6-4657-4cf6-b6f0-901cdeb373a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SAYAJI.VEER</dc:creator>
  <cp:keywords/>
  <dc:description/>
  <cp:lastModifiedBy>AVTAR NARANG</cp:lastModifiedBy>
  <cp:revision>6</cp:revision>
  <cp:lastPrinted>2025-02-21T11:35:00Z</cp:lastPrinted>
  <dcterms:created xsi:type="dcterms:W3CDTF">2025-02-25T07:09:00Z</dcterms:created>
  <dcterms:modified xsi:type="dcterms:W3CDTF">2025-02-25T10:41:00Z</dcterms:modified>
</cp:coreProperties>
</file>